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3D" w:rsidRPr="00A72DD3" w:rsidRDefault="00087F3D" w:rsidP="00087F3D">
      <w:pPr>
        <w:shd w:val="clear" w:color="auto" w:fill="FFFFFF"/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A72DD3">
        <w:rPr>
          <w:rFonts w:ascii="Times New Roman" w:eastAsia="Times New Roman" w:hAnsi="Times New Roman" w:cs="Times New Roman"/>
          <w:sz w:val="24"/>
          <w:szCs w:val="24"/>
        </w:rPr>
        <w:t>Приложение № 8</w:t>
      </w:r>
    </w:p>
    <w:p w:rsidR="00087F3D" w:rsidRPr="00A72DD3" w:rsidRDefault="00087F3D" w:rsidP="00087F3D">
      <w:pPr>
        <w:shd w:val="clear" w:color="auto" w:fill="FFFFFF"/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A72DD3">
        <w:rPr>
          <w:rFonts w:ascii="Times New Roman" w:eastAsia="Times New Roman" w:hAnsi="Times New Roman" w:cs="Times New Roman"/>
          <w:sz w:val="24"/>
          <w:szCs w:val="24"/>
        </w:rPr>
        <w:t>к Порядку</w:t>
      </w:r>
    </w:p>
    <w:p w:rsidR="00087F3D" w:rsidRPr="00A72DD3" w:rsidRDefault="00087F3D" w:rsidP="00087F3D">
      <w:pPr>
        <w:shd w:val="clear" w:color="auto" w:fill="FFFFFF"/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A72DD3">
        <w:rPr>
          <w:rFonts w:ascii="Times New Roman" w:eastAsia="Times New Roman" w:hAnsi="Times New Roman" w:cs="Times New Roman"/>
          <w:sz w:val="24"/>
          <w:szCs w:val="24"/>
        </w:rPr>
        <w:t>разработки, реализации и</w:t>
      </w:r>
    </w:p>
    <w:p w:rsidR="00087F3D" w:rsidRPr="00A72DD3" w:rsidRDefault="00087F3D" w:rsidP="00087F3D">
      <w:pPr>
        <w:shd w:val="clear" w:color="auto" w:fill="FFFFFF"/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A72DD3">
        <w:rPr>
          <w:rFonts w:ascii="Times New Roman" w:eastAsia="Times New Roman" w:hAnsi="Times New Roman" w:cs="Times New Roman"/>
          <w:sz w:val="24"/>
          <w:szCs w:val="24"/>
        </w:rPr>
        <w:t>оценки эффективности</w:t>
      </w:r>
    </w:p>
    <w:p w:rsidR="00087F3D" w:rsidRPr="00A72DD3" w:rsidRDefault="00087F3D" w:rsidP="00087F3D">
      <w:pPr>
        <w:shd w:val="clear" w:color="auto" w:fill="FFFFFF"/>
        <w:spacing w:after="0" w:line="240" w:lineRule="auto"/>
        <w:ind w:left="9923"/>
        <w:rPr>
          <w:rFonts w:ascii="Times New Roman" w:hAnsi="Times New Roman" w:cs="Times New Roman"/>
          <w:sz w:val="24"/>
          <w:szCs w:val="24"/>
        </w:rPr>
      </w:pPr>
      <w:r w:rsidRPr="00A72DD3">
        <w:rPr>
          <w:rFonts w:ascii="Times New Roman" w:eastAsia="Times New Roman" w:hAnsi="Times New Roman" w:cs="Times New Roman"/>
          <w:sz w:val="24"/>
          <w:szCs w:val="24"/>
        </w:rPr>
        <w:t>муниципальных программ</w:t>
      </w:r>
    </w:p>
    <w:p w:rsidR="00087F3D" w:rsidRPr="00A72DD3" w:rsidRDefault="00087F3D" w:rsidP="00087F3D">
      <w:pPr>
        <w:shd w:val="clear" w:color="auto" w:fill="FFFFFF"/>
        <w:spacing w:after="0" w:line="240" w:lineRule="auto"/>
        <w:ind w:left="992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2DD3">
        <w:rPr>
          <w:rFonts w:ascii="Times New Roman" w:eastAsia="Times New Roman" w:hAnsi="Times New Roman" w:cs="Times New Roman"/>
          <w:sz w:val="24"/>
          <w:szCs w:val="24"/>
        </w:rPr>
        <w:t>Дальнереченского</w:t>
      </w:r>
      <w:proofErr w:type="spellEnd"/>
      <w:r w:rsidRPr="00A72DD3"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</w:t>
      </w:r>
    </w:p>
    <w:p w:rsidR="00087F3D" w:rsidRPr="00087F3D" w:rsidRDefault="00087F3D" w:rsidP="00087F3D">
      <w:pPr>
        <w:shd w:val="clear" w:color="auto" w:fill="FFFFFF"/>
        <w:spacing w:line="322" w:lineRule="exact"/>
        <w:ind w:left="5064"/>
        <w:rPr>
          <w:rFonts w:ascii="Times New Roman" w:hAnsi="Times New Roman" w:cs="Times New Roman"/>
          <w:sz w:val="28"/>
          <w:szCs w:val="28"/>
        </w:rPr>
      </w:pPr>
    </w:p>
    <w:p w:rsidR="00087F3D" w:rsidRDefault="00087F3D" w:rsidP="00087F3D">
      <w:pPr>
        <w:shd w:val="clear" w:color="auto" w:fill="FFFFFF"/>
        <w:ind w:left="11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7F3D">
        <w:rPr>
          <w:rFonts w:ascii="Times New Roman" w:eastAsia="Times New Roman" w:hAnsi="Times New Roman" w:cs="Times New Roman"/>
          <w:sz w:val="28"/>
          <w:szCs w:val="28"/>
        </w:rPr>
        <w:t>Сведения о достижении значений показателей (индикаторов)</w:t>
      </w:r>
    </w:p>
    <w:p w:rsidR="00A72DD3" w:rsidRDefault="00A72DD3" w:rsidP="00A72DD3">
      <w:pPr>
        <w:shd w:val="clear" w:color="auto" w:fill="FFFFFF"/>
        <w:ind w:left="115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72DD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муниципальной программы </w:t>
      </w:r>
      <w:r w:rsidRPr="00A72DD3">
        <w:rPr>
          <w:rFonts w:ascii="Times New Roman" w:hAnsi="Times New Roman" w:cs="Times New Roman"/>
          <w:sz w:val="28"/>
          <w:szCs w:val="28"/>
          <w:u w:val="single"/>
        </w:rPr>
        <w:t>«Управление муниципальными финансами</w:t>
      </w:r>
    </w:p>
    <w:p w:rsidR="00A72DD3" w:rsidRPr="00A72DD3" w:rsidRDefault="00A72DD3" w:rsidP="00A72DD3">
      <w:pPr>
        <w:shd w:val="clear" w:color="auto" w:fill="FFFFFF"/>
        <w:ind w:left="1152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A72DD3">
        <w:rPr>
          <w:rFonts w:ascii="Times New Roman" w:hAnsi="Times New Roman" w:cs="Times New Roman"/>
          <w:sz w:val="28"/>
          <w:szCs w:val="28"/>
          <w:u w:val="single"/>
        </w:rPr>
        <w:t>Дальнереченского</w:t>
      </w:r>
      <w:proofErr w:type="spellEnd"/>
      <w:r w:rsidRPr="00A72DD3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округа» на 2021-2025 годы</w:t>
      </w:r>
    </w:p>
    <w:p w:rsidR="00A72DD3" w:rsidRPr="00A72DD3" w:rsidRDefault="00A72DD3" w:rsidP="00A72DD3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DD3">
        <w:rPr>
          <w:rFonts w:ascii="Times New Roman" w:hAnsi="Times New Roman" w:cs="Times New Roman"/>
          <w:sz w:val="28"/>
          <w:szCs w:val="28"/>
        </w:rPr>
        <w:t>за 2021 год</w:t>
      </w:r>
    </w:p>
    <w:tbl>
      <w:tblPr>
        <w:tblW w:w="14604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57"/>
        <w:gridCol w:w="5113"/>
        <w:gridCol w:w="1392"/>
        <w:gridCol w:w="2152"/>
        <w:gridCol w:w="1238"/>
        <w:gridCol w:w="1450"/>
        <w:gridCol w:w="2702"/>
      </w:tblGrid>
      <w:tr w:rsidR="00087F3D" w:rsidRPr="00F524EA" w:rsidTr="00F524EA">
        <w:trPr>
          <w:trHeight w:val="854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F3D" w:rsidRPr="00F524EA" w:rsidRDefault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F3D" w:rsidRPr="00F524EA" w:rsidRDefault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F3D" w:rsidRPr="00F524EA" w:rsidRDefault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5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F3D" w:rsidRPr="00F524EA" w:rsidRDefault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13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7F3D" w:rsidRPr="00F524EA" w:rsidRDefault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9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087F3D" w:rsidRPr="00F524EA" w:rsidTr="00F524EA">
        <w:trPr>
          <w:trHeight w:hRule="exact" w:val="468"/>
        </w:trPr>
        <w:tc>
          <w:tcPr>
            <w:tcW w:w="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5A13" w:rsidRPr="00385A13" w:rsidRDefault="00087F3D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14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7F3D" w:rsidRPr="00F524EA" w:rsidRDefault="00087F3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3D" w:rsidRPr="00F524EA" w:rsidTr="00385A13">
        <w:trPr>
          <w:trHeight w:hRule="exact" w:val="1464"/>
        </w:trPr>
        <w:tc>
          <w:tcPr>
            <w:tcW w:w="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7F3D" w:rsidRDefault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87F3D"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</w:p>
          <w:p w:rsidR="00385A13" w:rsidRDefault="00385A13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A13" w:rsidRPr="00F524EA" w:rsidRDefault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7F3D" w:rsidRDefault="00385A13">
            <w:pPr>
              <w:shd w:val="clear" w:color="auto" w:fill="FFFFFF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087F3D" w:rsidRPr="00F524EA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  <w:p w:rsidR="00385A13" w:rsidRPr="00F524EA" w:rsidRDefault="00385A13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7F3D" w:rsidRPr="00F524EA" w:rsidRDefault="0008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3D" w:rsidRPr="00F524EA" w:rsidTr="00F524EA">
        <w:trPr>
          <w:trHeight w:hRule="exact" w:val="37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87F3D" w:rsidRPr="00F524EA" w:rsidRDefault="00087F3D" w:rsidP="00087F3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6FCD" w:rsidRPr="00087F3D" w:rsidTr="00533F4A">
        <w:trPr>
          <w:trHeight w:hRule="exact" w:val="18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формируемых в рамках муниципальных программ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общем объеме расходов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&gt;=77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330DE0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533F4A" w:rsidRDefault="009C3F73" w:rsidP="00533F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F4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Pr="00533F4A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533F4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запланирована оплата исполнительных документов в сумме 42513,8 </w:t>
            </w:r>
            <w:proofErr w:type="spellStart"/>
            <w:r w:rsidRPr="00533F4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33F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33F4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186FCD" w:rsidRPr="00087F3D" w:rsidTr="00385A13">
        <w:trPr>
          <w:trHeight w:hRule="exact" w:val="87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исполнения расходных обязательств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330DE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&gt;=95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EE75AE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385A13">
        <w:trPr>
          <w:trHeight w:hRule="exact" w:val="10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Просроченная кредиторская задолженность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на н.г.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385A13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1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385A13">
        <w:trPr>
          <w:trHeight w:hRule="exact" w:val="86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долговой нагрузки на бюджет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2F153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&lt;=30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C04581" w:rsidRDefault="00C04581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385A13">
        <w:trPr>
          <w:trHeight w:hRule="exact" w:val="55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Динамика изменений муниципального долга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B85B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&lt;=100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B85B26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F524EA">
        <w:trPr>
          <w:trHeight w:hRule="exact" w:val="22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F524EA" w:rsidRDefault="00186FCD" w:rsidP="00F524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расходов на обслуживание муниципального долга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 объему расходов бюджета </w:t>
            </w:r>
            <w:proofErr w:type="spellStart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F524E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за исключением расходов, которые осуществляются за счет субвенций, предоставляемых из бюджетов вышестоящих уровней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BE0DF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&lt;=15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973410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E0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F524EA">
        <w:trPr>
          <w:trHeight w:hRule="exact" w:val="99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0,0</w:t>
            </w:r>
            <w:r w:rsidR="00385A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0,0</w:t>
            </w:r>
            <w:r w:rsidR="00385A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385A13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F524EA">
        <w:trPr>
          <w:trHeight w:hRule="exact" w:val="114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Процент исполнения бюджета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налоговым и неналоговым доходам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E55DC0">
            <w:pPr>
              <w:pStyle w:val="a4"/>
              <w:jc w:val="center"/>
            </w:pPr>
            <w:r>
              <w:t>103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</w:pPr>
            <w:r w:rsidRPr="00186FCD">
              <w:t>&gt;=100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E55DC0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186FCD">
        <w:trPr>
          <w:trHeight w:hRule="exact" w:val="18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учреждений, выполнивших муниципальное задание на 100%, в общем количестве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которым установлены муниципальные задания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385A1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C045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&gt;=95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385A13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186FCD">
        <w:trPr>
          <w:trHeight w:hRule="exact" w:val="24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информация о деятельности которых за отчетный финансовый год опубликована на официальном сайте для размещения информации о государственных (муниципальных) учреждениях (</w:t>
            </w:r>
            <w:hyperlink r:id="rId5" w:history="1">
              <w:r w:rsidRPr="00186FC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www.bus.gov.ru</w:t>
              </w:r>
            </w:hyperlink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86F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385A13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186FCD">
        <w:trPr>
          <w:trHeight w:hRule="exact" w:val="169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информации о бюджете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отчета об его исполнении в доступной для граждан форме на официальном сайте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(</w:t>
            </w:r>
            <w:r w:rsidRPr="0018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dalnerokrug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>
            <w:pPr>
              <w:pStyle w:val="a4"/>
              <w:jc w:val="center"/>
            </w:pPr>
            <w:r>
              <w:t xml:space="preserve">да/нет </w:t>
            </w:r>
          </w:p>
          <w:p w:rsidR="00186FCD" w:rsidRDefault="00186FCD">
            <w:pPr>
              <w:pStyle w:val="a4"/>
              <w:jc w:val="center"/>
            </w:pPr>
            <w:r>
              <w:t>(1/0)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>
            <w:pPr>
              <w:pStyle w:val="a4"/>
              <w:jc w:val="center"/>
            </w:pPr>
            <w:r>
              <w:t>1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>
            <w:pPr>
              <w:pStyle w:val="a4"/>
              <w:jc w:val="center"/>
            </w:pPr>
            <w: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385A13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CD" w:rsidRPr="00087F3D" w:rsidTr="00186FCD">
        <w:trPr>
          <w:trHeight w:hRule="exact" w:val="170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186FCD" w:rsidRDefault="00186FCD" w:rsidP="00F524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охваченных финансовым контролем, в общем объеме муниципальных учреждений </w:t>
            </w:r>
            <w:proofErr w:type="spellStart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186FC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0F53C9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Default="00186FCD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C04581" w:rsidP="00385A1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FCD" w:rsidRPr="00385A13" w:rsidRDefault="00186F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F3D" w:rsidRDefault="00087F3D" w:rsidP="00087F3D">
      <w:pPr>
        <w:shd w:val="clear" w:color="auto" w:fill="FFFFFF"/>
        <w:ind w:left="115"/>
        <w:rPr>
          <w:rFonts w:eastAsia="Times New Roman"/>
          <w:sz w:val="28"/>
          <w:szCs w:val="28"/>
        </w:rPr>
      </w:pPr>
    </w:p>
    <w:p w:rsidR="00087F3D" w:rsidRPr="00087F3D" w:rsidRDefault="00087F3D" w:rsidP="00087F3D">
      <w:pPr>
        <w:shd w:val="clear" w:color="auto" w:fill="FFFFFF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087F3D">
        <w:rPr>
          <w:rFonts w:ascii="Times New Roman" w:eastAsia="Times New Roman" w:hAnsi="Times New Roman" w:cs="Times New Roman"/>
          <w:sz w:val="24"/>
          <w:szCs w:val="24"/>
        </w:rPr>
        <w:t>Вывод об эффективности реализации программы за отчетный год:</w:t>
      </w:r>
    </w:p>
    <w:p w:rsidR="00087F3D" w:rsidRPr="00087F3D" w:rsidRDefault="00087F3D" w:rsidP="00087F3D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087F3D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высокая (если значение </w:t>
      </w:r>
      <w:proofErr w:type="spellStart"/>
      <w:r w:rsidRPr="00087F3D">
        <w:rPr>
          <w:rFonts w:ascii="Times New Roman" w:eastAsia="Times New Roman" w:hAnsi="Times New Roman" w:cs="Times New Roman"/>
          <w:sz w:val="24"/>
          <w:szCs w:val="24"/>
        </w:rPr>
        <w:t>Эмп</w:t>
      </w:r>
      <w:proofErr w:type="spellEnd"/>
      <w:r w:rsidRPr="00087F3D">
        <w:rPr>
          <w:rFonts w:ascii="Times New Roman" w:eastAsia="Times New Roman" w:hAnsi="Times New Roman" w:cs="Times New Roman"/>
          <w:sz w:val="24"/>
          <w:szCs w:val="24"/>
        </w:rPr>
        <w:t xml:space="preserve"> составляет не менее 0,9).</w:t>
      </w:r>
    </w:p>
    <w:p w:rsidR="00087F3D" w:rsidRPr="00087F3D" w:rsidRDefault="00087F3D" w:rsidP="00087F3D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087F3D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удовлетворительная (если значение </w:t>
      </w:r>
      <w:proofErr w:type="spellStart"/>
      <w:r w:rsidRPr="00087F3D">
        <w:rPr>
          <w:rFonts w:ascii="Times New Roman" w:eastAsia="Times New Roman" w:hAnsi="Times New Roman" w:cs="Times New Roman"/>
          <w:sz w:val="24"/>
          <w:szCs w:val="24"/>
        </w:rPr>
        <w:t>Эмп</w:t>
      </w:r>
      <w:proofErr w:type="spellEnd"/>
      <w:r w:rsidRPr="00087F3D">
        <w:rPr>
          <w:rFonts w:ascii="Times New Roman" w:eastAsia="Times New Roman" w:hAnsi="Times New Roman" w:cs="Times New Roman"/>
          <w:sz w:val="24"/>
          <w:szCs w:val="24"/>
        </w:rPr>
        <w:t xml:space="preserve"> составляет не менее 0,60.)</w:t>
      </w:r>
    </w:p>
    <w:p w:rsidR="00087F3D" w:rsidRPr="00087F3D" w:rsidRDefault="00087F3D" w:rsidP="00087F3D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jc w:val="both"/>
        <w:rPr>
          <w:rFonts w:ascii="Times New Roman" w:hAnsi="Times New Roman" w:cs="Times New Roman"/>
          <w:sz w:val="24"/>
          <w:szCs w:val="24"/>
        </w:rPr>
      </w:pPr>
      <w:r w:rsidRPr="00087F3D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неудовлетворительная (если значение </w:t>
      </w:r>
      <w:proofErr w:type="spellStart"/>
      <w:r w:rsidRPr="00087F3D">
        <w:rPr>
          <w:rFonts w:ascii="Times New Roman" w:eastAsia="Times New Roman" w:hAnsi="Times New Roman" w:cs="Times New Roman"/>
          <w:sz w:val="24"/>
          <w:szCs w:val="24"/>
        </w:rPr>
        <w:t>Эмп</w:t>
      </w:r>
      <w:proofErr w:type="spellEnd"/>
      <w:r w:rsidRPr="00087F3D">
        <w:rPr>
          <w:rFonts w:ascii="Times New Roman" w:eastAsia="Times New Roman" w:hAnsi="Times New Roman" w:cs="Times New Roman"/>
          <w:sz w:val="24"/>
          <w:szCs w:val="24"/>
        </w:rPr>
        <w:t xml:space="preserve"> составляет менее 0,60.).</w:t>
      </w:r>
    </w:p>
    <w:p w:rsidR="00087F3D" w:rsidRDefault="00087F3D" w:rsidP="00087F3D">
      <w:pPr>
        <w:rPr>
          <w:sz w:val="28"/>
          <w:szCs w:val="28"/>
        </w:rPr>
        <w:sectPr w:rsidR="00087F3D" w:rsidSect="00087F3D">
          <w:pgSz w:w="16834" w:h="11909" w:orient="landscape"/>
          <w:pgMar w:top="1134" w:right="1134" w:bottom="1077" w:left="1134" w:header="720" w:footer="720" w:gutter="0"/>
          <w:cols w:space="720"/>
        </w:sectPr>
      </w:pPr>
    </w:p>
    <w:p w:rsidR="00087F3D" w:rsidRDefault="00087F3D"/>
    <w:sectPr w:rsidR="00087F3D" w:rsidSect="00FF2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7F3D"/>
    <w:rsid w:val="00087F3D"/>
    <w:rsid w:val="000F53C9"/>
    <w:rsid w:val="00186FCD"/>
    <w:rsid w:val="001D0981"/>
    <w:rsid w:val="002F153E"/>
    <w:rsid w:val="00324745"/>
    <w:rsid w:val="00330DE0"/>
    <w:rsid w:val="00385A13"/>
    <w:rsid w:val="004E25FB"/>
    <w:rsid w:val="00533F4A"/>
    <w:rsid w:val="008D2BA1"/>
    <w:rsid w:val="00973410"/>
    <w:rsid w:val="009C3F73"/>
    <w:rsid w:val="00A72DD3"/>
    <w:rsid w:val="00B85B26"/>
    <w:rsid w:val="00BB4925"/>
    <w:rsid w:val="00BE0DF1"/>
    <w:rsid w:val="00C04581"/>
    <w:rsid w:val="00E55DC0"/>
    <w:rsid w:val="00EE75AE"/>
    <w:rsid w:val="00F524EA"/>
    <w:rsid w:val="00FF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86FCD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186F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30100430/61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Куранова</dc:creator>
  <cp:keywords/>
  <dc:description/>
  <cp:lastModifiedBy>Куранова</cp:lastModifiedBy>
  <cp:revision>14</cp:revision>
  <cp:lastPrinted>2022-03-11T01:15:00Z</cp:lastPrinted>
  <dcterms:created xsi:type="dcterms:W3CDTF">2022-03-04T23:38:00Z</dcterms:created>
  <dcterms:modified xsi:type="dcterms:W3CDTF">2022-03-11T01:16:00Z</dcterms:modified>
</cp:coreProperties>
</file>